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CEB1A">
      <w:pPr>
        <w:pStyle w:val="10"/>
        <w:spacing w:line="720" w:lineRule="auto"/>
        <w:ind w:firstLine="442" w:firstLineChars="100"/>
        <w:jc w:val="center"/>
        <w:rPr>
          <w:rFonts w:hint="eastAsia" w:asciiTheme="majorEastAsia" w:hAnsiTheme="majorEastAsia" w:eastAsiaTheme="majorEastAsia"/>
          <w:b/>
          <w:bCs/>
          <w:sz w:val="44"/>
          <w:szCs w:val="44"/>
        </w:rPr>
      </w:pPr>
      <w:r>
        <w:rPr>
          <w:rFonts w:hint="eastAsia" w:asciiTheme="majorEastAsia" w:hAnsiTheme="majorEastAsia" w:eastAsiaTheme="majorEastAsia"/>
          <w:b/>
          <w:bCs/>
          <w:sz w:val="44"/>
          <w:szCs w:val="44"/>
          <w:lang w:eastAsia="zh-CN"/>
        </w:rPr>
        <w:t>米贝苗族乡</w:t>
      </w:r>
      <w:r>
        <w:rPr>
          <w:rFonts w:hint="eastAsia" w:asciiTheme="majorEastAsia" w:hAnsiTheme="majorEastAsia" w:eastAsiaTheme="majorEastAsia"/>
          <w:b/>
          <w:bCs/>
          <w:sz w:val="44"/>
          <w:szCs w:val="44"/>
        </w:rPr>
        <w:t>人民政府关于</w:t>
      </w:r>
      <w:r>
        <w:rPr>
          <w:rFonts w:hint="eastAsia" w:asciiTheme="majorEastAsia" w:hAnsiTheme="majorEastAsia" w:eastAsiaTheme="majorEastAsia"/>
          <w:b/>
          <w:sz w:val="44"/>
          <w:szCs w:val="44"/>
        </w:rPr>
        <w:t>2024</w:t>
      </w:r>
      <w:r>
        <w:rPr>
          <w:rFonts w:hint="eastAsia" w:asciiTheme="majorEastAsia" w:hAnsiTheme="majorEastAsia" w:eastAsiaTheme="majorEastAsia"/>
          <w:b/>
          <w:bCs/>
          <w:sz w:val="44"/>
          <w:szCs w:val="44"/>
        </w:rPr>
        <w:t>年度预算绩效</w:t>
      </w:r>
    </w:p>
    <w:p w14:paraId="1FE3AAF5">
      <w:pPr>
        <w:pStyle w:val="10"/>
        <w:spacing w:line="720" w:lineRule="auto"/>
        <w:ind w:firstLine="442" w:firstLineChars="100"/>
        <w:jc w:val="center"/>
        <w:rPr>
          <w:rStyle w:val="7"/>
          <w:rFonts w:asciiTheme="majorEastAsia" w:hAnsiTheme="majorEastAsia" w:eastAsiaTheme="majorEastAsia"/>
          <w:sz w:val="44"/>
          <w:szCs w:val="44"/>
        </w:rPr>
      </w:pPr>
      <w:r>
        <w:rPr>
          <w:rFonts w:hint="eastAsia" w:asciiTheme="majorEastAsia" w:hAnsiTheme="majorEastAsia" w:eastAsiaTheme="majorEastAsia"/>
          <w:b/>
          <w:bCs/>
          <w:sz w:val="44"/>
          <w:szCs w:val="44"/>
        </w:rPr>
        <w:t>情况的说明</w:t>
      </w:r>
    </w:p>
    <w:p w14:paraId="2AD06424">
      <w:pPr>
        <w:spacing w:line="560" w:lineRule="exact"/>
        <w:ind w:firstLine="643" w:firstLineChars="200"/>
        <w:jc w:val="left"/>
        <w:rPr>
          <w:rFonts w:cs="仿宋_GB2312" w:asciiTheme="minorEastAsia" w:hAnsiTheme="minorEastAsia" w:eastAsiaTheme="minorEastAsia"/>
          <w:b/>
          <w:sz w:val="32"/>
          <w:szCs w:val="32"/>
        </w:rPr>
      </w:pPr>
      <w:r>
        <w:rPr>
          <w:rFonts w:hint="eastAsia" w:cs="仿宋_GB2312" w:asciiTheme="minorEastAsia" w:hAnsiTheme="minorEastAsia" w:eastAsiaTheme="minorEastAsia"/>
          <w:b/>
          <w:sz w:val="32"/>
          <w:szCs w:val="32"/>
        </w:rPr>
        <w:t>一、部门（单位）基本概况</w:t>
      </w:r>
    </w:p>
    <w:p w14:paraId="6417E7E4">
      <w:pPr>
        <w:spacing w:line="560" w:lineRule="exact"/>
        <w:ind w:firstLine="643" w:firstLineChars="200"/>
        <w:textAlignment w:val="auto"/>
        <w:rPr>
          <w:rFonts w:ascii="楷体" w:hAnsi="楷体" w:eastAsia="楷体" w:cs="仿宋_GB2312"/>
          <w:b/>
          <w:sz w:val="32"/>
          <w:szCs w:val="32"/>
        </w:rPr>
      </w:pPr>
      <w:r>
        <w:rPr>
          <w:rFonts w:hint="eastAsia" w:ascii="楷体" w:hAnsi="楷体" w:eastAsia="楷体" w:cs="仿宋_GB2312"/>
          <w:b/>
          <w:sz w:val="32"/>
          <w:szCs w:val="32"/>
        </w:rPr>
        <w:t>（一）职能职责</w:t>
      </w:r>
    </w:p>
    <w:p w14:paraId="6C2C4F5F">
      <w:pPr>
        <w:spacing w:line="56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落实国家政策方针，严格依法行政，加强政策引导，搞好市场监管。执行本行政区域内的经济和社会发展计划、预算，管理本行政区域内的经济、教育、科学、文化、卫生健康、体育事业和财政、民政、公安、司法、计划生育等行政工作。保护社会主义的全民所有财产和劳动群众的集体所有财产，保护公民私有合法财产，维护社会秩序，保障公民的人身权利、民主权利和其他权利。办理上级人民政府交办的其它事项。</w:t>
      </w:r>
    </w:p>
    <w:p w14:paraId="4CAD0F47">
      <w:pPr>
        <w:spacing w:line="560" w:lineRule="exact"/>
        <w:ind w:firstLine="643" w:firstLineChars="200"/>
        <w:textAlignment w:val="auto"/>
        <w:rPr>
          <w:rFonts w:ascii="楷体" w:hAnsi="楷体" w:eastAsia="楷体" w:cs="仿宋_GB2312"/>
          <w:b/>
          <w:sz w:val="32"/>
          <w:szCs w:val="32"/>
        </w:rPr>
      </w:pPr>
      <w:r>
        <w:rPr>
          <w:rFonts w:hint="eastAsia" w:ascii="楷体" w:hAnsi="楷体" w:eastAsia="楷体" w:cs="仿宋_GB2312"/>
          <w:b/>
          <w:sz w:val="32"/>
          <w:szCs w:val="32"/>
        </w:rPr>
        <w:t>（二）机构设置</w:t>
      </w:r>
    </w:p>
    <w:p w14:paraId="100A2082">
      <w:pPr>
        <w:spacing w:line="560" w:lineRule="exact"/>
        <w:ind w:left="0"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新晃侗族自治县</w:t>
      </w:r>
      <w:r>
        <w:rPr>
          <w:rFonts w:hint="eastAsia" w:ascii="仿宋_GB2312" w:hAnsi="仿宋_GB2312" w:eastAsia="仿宋_GB2312" w:cs="仿宋_GB2312"/>
          <w:sz w:val="32"/>
          <w:szCs w:val="32"/>
          <w:lang w:eastAsia="zh-CN"/>
        </w:rPr>
        <w:t>米贝苗族乡</w:t>
      </w:r>
      <w:r>
        <w:rPr>
          <w:rFonts w:hint="eastAsia" w:ascii="仿宋_GB2312" w:hAnsi="仿宋_GB2312" w:eastAsia="仿宋_GB2312" w:cs="仿宋_GB2312"/>
          <w:sz w:val="32"/>
          <w:szCs w:val="32"/>
        </w:rPr>
        <w:t>人民政府属于一级预算单位，内设机构包括：“六办三中心”（党政办、党建办、经济发展办、社会事务办、自然资源和生态环境办、平安法制与应急管理办、政务服务中心、农业综合服务中心、社会事务综合服务中心）、综合行政执法大队、国土所、司法所和财政所。截至2024年底，在编在岗人数为56人，其中公务员编制</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人，</w:t>
      </w:r>
      <w:r>
        <w:rPr>
          <w:rFonts w:hint="eastAsia" w:ascii="仿宋_GB2312" w:hAnsi="仿宋_GB2312" w:eastAsia="仿宋_GB2312" w:cs="仿宋_GB2312"/>
          <w:color w:val="000000"/>
          <w:sz w:val="32"/>
          <w:szCs w:val="32"/>
        </w:rPr>
        <w:t>事业编制</w:t>
      </w:r>
      <w:r>
        <w:rPr>
          <w:rFonts w:hint="eastAsia" w:ascii="仿宋_GB2312" w:hAnsi="仿宋_GB2312" w:eastAsia="仿宋_GB2312" w:cs="仿宋_GB2312"/>
          <w:color w:val="000000"/>
          <w:sz w:val="32"/>
          <w:szCs w:val="32"/>
          <w:lang w:val="en-US" w:eastAsia="zh-CN"/>
        </w:rPr>
        <w:t>33</w:t>
      </w:r>
      <w:r>
        <w:rPr>
          <w:rFonts w:hint="eastAsia" w:ascii="仿宋_GB2312" w:hAnsi="仿宋_GB2312" w:eastAsia="仿宋_GB2312" w:cs="仿宋_GB2312"/>
          <w:color w:val="000000"/>
          <w:sz w:val="32"/>
          <w:szCs w:val="32"/>
        </w:rPr>
        <w:t>名。</w:t>
      </w:r>
    </w:p>
    <w:p w14:paraId="6FE94B81">
      <w:pPr>
        <w:spacing w:line="560" w:lineRule="exact"/>
        <w:ind w:firstLine="643" w:firstLineChars="200"/>
        <w:textAlignment w:val="auto"/>
        <w:rPr>
          <w:rFonts w:ascii="楷体" w:hAnsi="楷体" w:eastAsia="楷体" w:cs="仿宋_GB2312"/>
          <w:b/>
          <w:sz w:val="32"/>
          <w:szCs w:val="32"/>
        </w:rPr>
      </w:pPr>
      <w:r>
        <w:rPr>
          <w:rFonts w:hint="eastAsia" w:ascii="楷体" w:hAnsi="楷体" w:eastAsia="楷体" w:cs="仿宋_GB2312"/>
          <w:b/>
          <w:sz w:val="32"/>
          <w:szCs w:val="32"/>
        </w:rPr>
        <w:t>（三）2024年度财政收支情况</w:t>
      </w:r>
    </w:p>
    <w:p w14:paraId="4CE1DDCE">
      <w:pPr>
        <w:ind w:firstLine="640"/>
        <w:rPr>
          <w:rFonts w:hint="default" w:ascii="仿宋" w:hAnsi="仿宋" w:eastAsia="仿宋" w:cs="仿宋"/>
          <w:color w:val="auto"/>
          <w:sz w:val="32"/>
          <w:szCs w:val="32"/>
          <w:lang w:val="en-US"/>
        </w:rPr>
      </w:pPr>
      <w:r>
        <w:rPr>
          <w:rFonts w:hint="eastAsia" w:ascii="仿宋" w:hAnsi="仿宋" w:eastAsia="仿宋" w:cs="仿宋"/>
          <w:b w:val="0"/>
          <w:bCs w:val="0"/>
          <w:color w:val="auto"/>
          <w:sz w:val="32"/>
          <w:szCs w:val="32"/>
          <w:lang w:val="en-US" w:eastAsia="zh-CN"/>
        </w:rPr>
        <w:t>米贝乡2024年财政拨款预算收入957.31万元，实际完成财政拨款收入1186.43万元，同比增加0.99%。</w:t>
      </w:r>
      <w:r>
        <w:rPr>
          <w:rFonts w:hint="eastAsia" w:ascii="仿宋" w:hAnsi="仿宋" w:eastAsia="仿宋" w:cs="仿宋"/>
          <w:b w:val="0"/>
          <w:bCs w:val="0"/>
          <w:color w:val="auto"/>
          <w:sz w:val="32"/>
          <w:szCs w:val="32"/>
        </w:rPr>
        <w:t>202</w:t>
      </w:r>
      <w:r>
        <w:rPr>
          <w:rFonts w:hint="eastAsia" w:ascii="仿宋" w:hAnsi="仿宋" w:eastAsia="仿宋" w:cs="仿宋"/>
          <w:b w:val="0"/>
          <w:bCs w:val="0"/>
          <w:color w:val="auto"/>
          <w:sz w:val="32"/>
          <w:szCs w:val="32"/>
          <w:lang w:val="en-US" w:eastAsia="zh-CN"/>
        </w:rPr>
        <w:t>4</w:t>
      </w:r>
      <w:r>
        <w:rPr>
          <w:rFonts w:hint="eastAsia" w:ascii="仿宋" w:hAnsi="仿宋" w:eastAsia="仿宋" w:cs="仿宋"/>
          <w:b w:val="0"/>
          <w:bCs w:val="0"/>
          <w:color w:val="auto"/>
          <w:sz w:val="32"/>
          <w:szCs w:val="32"/>
        </w:rPr>
        <w:t>年全</w:t>
      </w:r>
      <w:r>
        <w:rPr>
          <w:rFonts w:hint="eastAsia" w:ascii="仿宋" w:hAnsi="仿宋" w:eastAsia="仿宋" w:cs="仿宋"/>
          <w:b w:val="0"/>
          <w:bCs w:val="0"/>
          <w:color w:val="auto"/>
          <w:sz w:val="32"/>
          <w:szCs w:val="32"/>
          <w:lang w:eastAsia="zh-CN"/>
        </w:rPr>
        <w:t>乡</w:t>
      </w:r>
      <w:r>
        <w:rPr>
          <w:rFonts w:hint="eastAsia" w:ascii="仿宋" w:hAnsi="仿宋" w:eastAsia="仿宋" w:cs="仿宋"/>
          <w:b w:val="0"/>
          <w:bCs w:val="0"/>
          <w:color w:val="auto"/>
          <w:sz w:val="32"/>
          <w:szCs w:val="32"/>
        </w:rPr>
        <w:t>财政总支出</w:t>
      </w:r>
      <w:r>
        <w:rPr>
          <w:rFonts w:hint="eastAsia" w:ascii="仿宋" w:hAnsi="仿宋" w:eastAsia="仿宋" w:cs="仿宋"/>
          <w:b w:val="0"/>
          <w:bCs w:val="0"/>
          <w:color w:val="auto"/>
          <w:sz w:val="32"/>
          <w:szCs w:val="32"/>
          <w:lang w:val="en-US" w:eastAsia="zh-CN"/>
        </w:rPr>
        <w:t>1201.32</w:t>
      </w:r>
      <w:r>
        <w:rPr>
          <w:rFonts w:hint="eastAsia" w:ascii="仿宋" w:hAnsi="仿宋" w:eastAsia="仿宋" w:cs="仿宋"/>
          <w:b w:val="0"/>
          <w:bCs w:val="0"/>
          <w:color w:val="auto"/>
          <w:sz w:val="32"/>
          <w:szCs w:val="32"/>
        </w:rPr>
        <w:t>万元</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其中</w:t>
      </w:r>
      <w:r>
        <w:rPr>
          <w:rFonts w:hint="eastAsia" w:ascii="仿宋" w:hAnsi="仿宋" w:eastAsia="仿宋" w:cs="仿宋"/>
          <w:b w:val="0"/>
          <w:bCs w:val="0"/>
          <w:color w:val="auto"/>
          <w:sz w:val="32"/>
          <w:szCs w:val="32"/>
          <w:lang w:eastAsia="zh-CN"/>
        </w:rPr>
        <w:t>一般公共服务支出</w:t>
      </w:r>
      <w:r>
        <w:rPr>
          <w:rFonts w:hint="eastAsia" w:ascii="仿宋" w:hAnsi="仿宋" w:eastAsia="仿宋" w:cs="仿宋"/>
          <w:b w:val="0"/>
          <w:bCs w:val="0"/>
          <w:color w:val="auto"/>
          <w:sz w:val="32"/>
          <w:szCs w:val="32"/>
          <w:lang w:val="en-US" w:eastAsia="zh-CN"/>
        </w:rPr>
        <w:t>614.48万元，占51.15%；文化旅游体育与传媒支出2.4万元，占0.2%；社会保障和就业支出145.18万元，占12.09%；卫生健康支出18.56万元，占1.54%；农林水支出289.51万元，占24.01</w:t>
      </w:r>
      <w:r>
        <w:rPr>
          <w:rFonts w:hint="eastAsia" w:ascii="仿宋_GB2312" w:eastAsia="仿宋_GB2312"/>
          <w:color w:val="auto"/>
          <w:sz w:val="32"/>
          <w:szCs w:val="32"/>
          <w:lang w:val="en-US" w:eastAsia="zh-CN"/>
        </w:rPr>
        <w:t>%；交通运输支出5.72万元，占0.48%；其他支出144.03.万元，占11.99%。</w:t>
      </w:r>
    </w:p>
    <w:p w14:paraId="232108BD">
      <w:pPr>
        <w:spacing w:line="560" w:lineRule="exact"/>
        <w:ind w:left="0" w:firstLine="640" w:firstLineChars="200"/>
        <w:rPr>
          <w:rFonts w:ascii="仿宋_GB2312" w:hAnsi="仿宋_GB2312" w:eastAsia="仿宋_GB2312" w:cs="仿宋_GB2312"/>
          <w:color w:val="FF0000"/>
          <w:sz w:val="32"/>
          <w:szCs w:val="32"/>
        </w:rPr>
      </w:pPr>
      <w:bookmarkStart w:id="0" w:name="_GoBack"/>
      <w:bookmarkEnd w:id="0"/>
      <w:r>
        <w:rPr>
          <w:rFonts w:hint="eastAsia" w:ascii="仿宋_GB2312" w:hAnsi="仿宋_GB2312" w:eastAsia="仿宋_GB2312" w:cs="仿宋_GB2312"/>
          <w:color w:val="000000"/>
          <w:sz w:val="32"/>
          <w:szCs w:val="32"/>
        </w:rPr>
        <w:t>财政财务管理制度及执行情况：严格按照《预算法》和相关财经纪律要求，厉行节约，杜绝不合理开支，降低行政成本，努力让财政资金发挥最大效益，较好地完成了全年预算。</w:t>
      </w:r>
    </w:p>
    <w:p w14:paraId="21168F6C">
      <w:pPr>
        <w:spacing w:line="560" w:lineRule="exact"/>
        <w:ind w:firstLine="643" w:firstLineChars="200"/>
        <w:jc w:val="left"/>
        <w:rPr>
          <w:rFonts w:cs="仿宋_GB2312" w:asciiTheme="minorEastAsia" w:hAnsiTheme="minorEastAsia" w:eastAsiaTheme="minorEastAsia"/>
          <w:b/>
          <w:sz w:val="32"/>
          <w:szCs w:val="32"/>
        </w:rPr>
      </w:pPr>
      <w:r>
        <w:rPr>
          <w:rFonts w:hint="eastAsia" w:cs="仿宋_GB2312" w:asciiTheme="minorEastAsia" w:hAnsiTheme="minorEastAsia" w:eastAsiaTheme="minorEastAsia"/>
          <w:b/>
          <w:sz w:val="32"/>
          <w:szCs w:val="32"/>
        </w:rPr>
        <w:t>二、部门（单位）整体支出绩效状况</w:t>
      </w:r>
    </w:p>
    <w:p w14:paraId="702F4117">
      <w:pPr>
        <w:spacing w:line="560" w:lineRule="exact"/>
        <w:ind w:left="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我们坚持以习近平新时代中国特色社会主义思想为指导，深入学习党的二十大精神，全面贯彻落实中央和省、市、县委各项决策部署，在镇党委的坚强领导下，在镇人大的监督支持下，对标对表“产业兴旺、生态宜居、乡风文明、治理有效、生活富裕”的乡村振兴总要求，紧紧围绕县委县政府“一堡五高地”的战略目标和“产业为本、基础先行、金融为器、规划引领、项目为王”的总体思路，牢牢把握“民生实事、经济发展、安全生产、安全维稳”四个关键，坚定不移抓产业发展、促乡村振兴、保社会稳定、强政府建设，不断推动林冲经济社会高质量发展。</w:t>
      </w:r>
      <w:r>
        <w:rPr>
          <w:rFonts w:hint="eastAsia" w:ascii="仿宋_GB2312" w:hAnsi="仿宋_GB2312" w:eastAsia="仿宋_GB2312" w:cs="仿宋_GB2312"/>
          <w:color w:val="000000"/>
          <w:sz w:val="32"/>
          <w:szCs w:val="32"/>
        </w:rPr>
        <w:t>根据《2024年度新晃侗族自治县</w:t>
      </w:r>
      <w:r>
        <w:rPr>
          <w:rFonts w:hint="eastAsia" w:ascii="仿宋_GB2312" w:hAnsi="仿宋_GB2312" w:eastAsia="仿宋_GB2312" w:cs="仿宋_GB2312"/>
          <w:color w:val="000000"/>
          <w:sz w:val="32"/>
          <w:szCs w:val="32"/>
          <w:lang w:eastAsia="zh-CN"/>
        </w:rPr>
        <w:t>米贝苗族乡</w:t>
      </w:r>
      <w:r>
        <w:rPr>
          <w:rFonts w:hint="eastAsia" w:ascii="仿宋_GB2312" w:hAnsi="仿宋_GB2312" w:eastAsia="仿宋_GB2312" w:cs="仿宋_GB2312"/>
          <w:color w:val="000000"/>
          <w:sz w:val="32"/>
          <w:szCs w:val="32"/>
        </w:rPr>
        <w:t>人民政府整体支出绩效自评表》，</w:t>
      </w:r>
      <w:r>
        <w:rPr>
          <w:rFonts w:hint="eastAsia" w:ascii="仿宋_GB2312" w:hAnsi="仿宋_GB2312" w:eastAsia="仿宋_GB2312" w:cs="仿宋_GB2312"/>
          <w:sz w:val="32"/>
          <w:szCs w:val="32"/>
        </w:rPr>
        <w:t>自评得分90分，整体支出绩效为“优秀”。</w:t>
      </w:r>
    </w:p>
    <w:p w14:paraId="18C18974">
      <w:pPr>
        <w:spacing w:line="560" w:lineRule="exact"/>
        <w:ind w:firstLine="643" w:firstLineChars="200"/>
        <w:jc w:val="left"/>
        <w:rPr>
          <w:rFonts w:cs="仿宋_GB2312" w:asciiTheme="minorEastAsia" w:hAnsiTheme="minorEastAsia" w:eastAsiaTheme="minorEastAsia"/>
          <w:b/>
          <w:sz w:val="32"/>
          <w:szCs w:val="32"/>
        </w:rPr>
      </w:pPr>
      <w:r>
        <w:rPr>
          <w:rFonts w:hint="eastAsia" w:cs="仿宋_GB2312" w:asciiTheme="minorEastAsia" w:hAnsiTheme="minorEastAsia" w:eastAsiaTheme="minorEastAsia"/>
          <w:b/>
          <w:sz w:val="32"/>
          <w:szCs w:val="32"/>
        </w:rPr>
        <w:t>三、存在的问题及原因</w:t>
      </w:r>
    </w:p>
    <w:p w14:paraId="17E2735A">
      <w:pPr>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我</w:t>
      </w:r>
      <w:r>
        <w:rPr>
          <w:rFonts w:hint="eastAsia" w:ascii="仿宋_GB2312" w:hAnsi="仿宋_GB2312" w:eastAsia="仿宋_GB2312" w:cs="仿宋_GB2312"/>
          <w:color w:val="000000"/>
          <w:sz w:val="32"/>
          <w:szCs w:val="32"/>
          <w:lang w:eastAsia="zh-CN"/>
        </w:rPr>
        <w:t>乡</w:t>
      </w:r>
      <w:r>
        <w:rPr>
          <w:rFonts w:hint="eastAsia" w:ascii="仿宋_GB2312" w:hAnsi="仿宋_GB2312" w:eastAsia="仿宋_GB2312" w:cs="仿宋_GB2312"/>
          <w:color w:val="000000"/>
          <w:sz w:val="32"/>
          <w:szCs w:val="32"/>
        </w:rPr>
        <w:t>财政资金紧张，资金缺口过大，特别是政府公用经费尤其紧张。公用经费实行定额标准管理，预算标准与实际执行脱节，在很大程度上影响了资金的使用效率。各种矛盾凸显，导致我乡基本保障面临巨大的压力。</w:t>
      </w:r>
    </w:p>
    <w:p w14:paraId="1C282437">
      <w:pPr>
        <w:spacing w:line="560" w:lineRule="exact"/>
        <w:ind w:firstLine="643" w:firstLineChars="200"/>
        <w:jc w:val="left"/>
        <w:rPr>
          <w:rFonts w:cs="仿宋_GB2312" w:asciiTheme="minorEastAsia" w:hAnsiTheme="minorEastAsia" w:eastAsiaTheme="minorEastAsia"/>
          <w:b/>
          <w:sz w:val="32"/>
          <w:szCs w:val="32"/>
        </w:rPr>
      </w:pPr>
      <w:r>
        <w:rPr>
          <w:rFonts w:hint="eastAsia" w:cs="仿宋_GB2312" w:asciiTheme="minorEastAsia" w:hAnsiTheme="minorEastAsia" w:eastAsiaTheme="minorEastAsia"/>
          <w:b/>
          <w:sz w:val="32"/>
          <w:szCs w:val="32"/>
        </w:rPr>
        <w:t>四、高财政资金绩效的措施与建议</w:t>
      </w:r>
    </w:p>
    <w:p w14:paraId="7D1AF8ED">
      <w:pPr>
        <w:spacing w:line="560" w:lineRule="exact"/>
        <w:ind w:firstLine="643" w:firstLineChars="200"/>
        <w:textAlignment w:val="auto"/>
        <w:rPr>
          <w:rFonts w:ascii="楷体" w:hAnsi="楷体" w:eastAsia="楷体" w:cs="仿宋_GB2312"/>
          <w:b/>
          <w:sz w:val="32"/>
          <w:szCs w:val="32"/>
        </w:rPr>
      </w:pPr>
      <w:r>
        <w:rPr>
          <w:rFonts w:hint="eastAsia" w:ascii="楷体" w:hAnsi="楷体" w:eastAsia="楷体" w:cs="仿宋_GB2312"/>
          <w:b/>
          <w:sz w:val="32"/>
          <w:szCs w:val="32"/>
        </w:rPr>
        <w:t>（一）科学合理编制预算，严格执行预算</w:t>
      </w:r>
    </w:p>
    <w:p w14:paraId="4C85F3BA">
      <w:pPr>
        <w:spacing w:line="560" w:lineRule="exact"/>
        <w:ind w:left="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p>
    <w:p w14:paraId="2CEC9796">
      <w:pPr>
        <w:spacing w:line="560" w:lineRule="exact"/>
        <w:ind w:firstLine="643" w:firstLineChars="200"/>
        <w:textAlignment w:val="auto"/>
        <w:rPr>
          <w:rFonts w:ascii="楷体" w:hAnsi="楷体" w:eastAsia="楷体" w:cs="仿宋_GB2312"/>
          <w:b/>
          <w:sz w:val="32"/>
          <w:szCs w:val="32"/>
        </w:rPr>
      </w:pPr>
      <w:r>
        <w:rPr>
          <w:rFonts w:hint="eastAsia" w:ascii="楷体" w:hAnsi="楷体" w:eastAsia="楷体" w:cs="仿宋_GB2312"/>
          <w:b/>
          <w:sz w:val="32"/>
          <w:szCs w:val="32"/>
        </w:rPr>
        <w:t>（二）完善管理制度，进一步加强资产管理</w:t>
      </w:r>
    </w:p>
    <w:p w14:paraId="5752BF09">
      <w:pPr>
        <w:spacing w:line="560" w:lineRule="exact"/>
        <w:ind w:left="0" w:firstLine="64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14:paraId="714D0BC3">
      <w:pPr>
        <w:spacing w:line="560" w:lineRule="exact"/>
        <w:ind w:firstLine="643" w:firstLineChars="200"/>
        <w:textAlignment w:val="auto"/>
        <w:rPr>
          <w:rFonts w:ascii="楷体" w:hAnsi="楷体" w:eastAsia="楷体" w:cs="仿宋_GB2312"/>
          <w:b/>
          <w:sz w:val="32"/>
          <w:szCs w:val="32"/>
        </w:rPr>
      </w:pPr>
      <w:r>
        <w:rPr>
          <w:rFonts w:hint="eastAsia" w:ascii="楷体" w:hAnsi="楷体" w:eastAsia="楷体" w:cs="仿宋_GB2312"/>
          <w:b/>
          <w:sz w:val="32"/>
          <w:szCs w:val="32"/>
        </w:rPr>
        <w:t>（三）加强法制教育，严肃财经法规</w:t>
      </w:r>
    </w:p>
    <w:p w14:paraId="0F19EB61">
      <w:pPr>
        <w:spacing w:line="56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强化法律意识，高度重视财务管理工作，进一步提高有关工作人员的专业知识水平和业务工作能力，不断完善内部控制，努力提高财务管理水平，规范预算执行</w:t>
      </w:r>
    </w:p>
    <w:p w14:paraId="69BE1445">
      <w:pPr>
        <w:spacing w:line="560" w:lineRule="exact"/>
        <w:ind w:left="0" w:firstLine="643" w:firstLineChars="200"/>
        <w:textAlignment w:val="auto"/>
        <w:rPr>
          <w:rFonts w:ascii="楷体" w:hAnsi="楷体" w:eastAsia="楷体" w:cs="仿宋_GB2312"/>
          <w:b/>
          <w:sz w:val="32"/>
          <w:szCs w:val="32"/>
        </w:rPr>
      </w:pPr>
      <w:r>
        <w:rPr>
          <w:rFonts w:hint="eastAsia" w:ascii="楷体" w:hAnsi="楷体" w:eastAsia="楷体" w:cs="仿宋_GB2312"/>
          <w:b/>
          <w:sz w:val="32"/>
          <w:szCs w:val="32"/>
        </w:rPr>
        <w:t>（四）不断提高财政资金的使用效益</w:t>
      </w:r>
    </w:p>
    <w:p w14:paraId="62B5F1D2">
      <w:pPr>
        <w:spacing w:line="56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积极探索、建立财政预算的绩效评价体系和考核制度，加强预算执行分析，强化决算管理。建立预算执行追踪问效制度，有效控制公用经费的支出，提高预算资金的使用效益。</w:t>
      </w:r>
    </w:p>
    <w:p w14:paraId="7202F45A">
      <w:pPr>
        <w:spacing w:line="560" w:lineRule="exact"/>
        <w:ind w:left="0" w:firstLine="643" w:firstLineChars="200"/>
        <w:textAlignment w:val="auto"/>
        <w:rPr>
          <w:rFonts w:ascii="楷体" w:hAnsi="楷体" w:eastAsia="楷体" w:cs="仿宋_GB2312"/>
          <w:b/>
          <w:sz w:val="32"/>
          <w:szCs w:val="32"/>
        </w:rPr>
      </w:pPr>
      <w:r>
        <w:rPr>
          <w:rFonts w:hint="eastAsia" w:ascii="楷体" w:hAnsi="楷体" w:eastAsia="楷体" w:cs="仿宋_GB2312"/>
          <w:b/>
          <w:sz w:val="32"/>
          <w:szCs w:val="32"/>
        </w:rPr>
        <w:t>（五）加强新会计制度和新预算法学习培训</w:t>
      </w:r>
    </w:p>
    <w:p w14:paraId="76CA1816">
      <w:pPr>
        <w:spacing w:line="56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加强新《预算法》、《政府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14:paraId="7FC63A1C">
      <w:pPr>
        <w:spacing w:line="560" w:lineRule="exact"/>
        <w:ind w:left="0"/>
        <w:jc w:val="left"/>
        <w:rPr>
          <w:rFonts w:ascii="仿宋_GB2312" w:hAnsi="仿宋_GB2312" w:eastAsia="仿宋_GB2312" w:cs="仿宋_GB2312"/>
          <w:sz w:val="32"/>
          <w:szCs w:val="32"/>
        </w:rPr>
      </w:pPr>
    </w:p>
    <w:p w14:paraId="55307D10">
      <w:pPr>
        <w:spacing w:line="560" w:lineRule="exact"/>
        <w:ind w:left="0"/>
        <w:jc w:val="left"/>
        <w:rPr>
          <w:rFonts w:ascii="仿宋_GB2312" w:hAnsi="仿宋_GB2312" w:eastAsia="仿宋_GB2312" w:cs="仿宋_GB2312"/>
          <w:sz w:val="32"/>
          <w:szCs w:val="32"/>
        </w:rPr>
      </w:pPr>
    </w:p>
    <w:p w14:paraId="0F17605E">
      <w:pPr>
        <w:spacing w:line="560" w:lineRule="exact"/>
        <w:ind w:left="0" w:firstLine="640" w:firstLineChars="200"/>
        <w:jc w:val="left"/>
      </w:pPr>
      <w:r>
        <w:rPr>
          <w:rFonts w:hint="eastAsia" w:ascii="仿宋_GB2312" w:hAnsi="仿宋_GB2312" w:eastAsia="仿宋_GB2312" w:cs="仿宋_GB2312"/>
          <w:sz w:val="32"/>
          <w:szCs w:val="32"/>
        </w:rPr>
        <w:t xml:space="preserve">                  </w:t>
      </w:r>
    </w:p>
    <w:p w14:paraId="391C6D2D"/>
    <w:sectPr>
      <w:pgSz w:w="11906" w:h="16838"/>
      <w:pgMar w:top="2098" w:right="1474" w:bottom="1984" w:left="1587"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FF5F5D6D"/>
    <w:rsid w:val="00770717"/>
    <w:rsid w:val="00DC4DCA"/>
    <w:rsid w:val="00F84E9A"/>
    <w:rsid w:val="3B50593D"/>
    <w:rsid w:val="FADF663D"/>
    <w:rsid w:val="FF5F5D6D"/>
    <w:rsid w:val="FFFB0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spacing w:line="240" w:lineRule="atLeast"/>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qFormat/>
    <w:uiPriority w:val="0"/>
    <w:rPr>
      <w:b/>
      <w:bCs/>
    </w:rPr>
  </w:style>
  <w:style w:type="character" w:customStyle="1" w:styleId="8">
    <w:name w:val="页眉 Char"/>
    <w:basedOn w:val="6"/>
    <w:link w:val="3"/>
    <w:qFormat/>
    <w:uiPriority w:val="0"/>
    <w:rPr>
      <w:rFonts w:ascii="Times New Roman" w:hAnsi="Times New Roman" w:eastAsia="宋体" w:cs="Times New Roman"/>
      <w:sz w:val="18"/>
      <w:szCs w:val="18"/>
    </w:rPr>
  </w:style>
  <w:style w:type="character" w:customStyle="1" w:styleId="9">
    <w:name w:val="页脚 Char"/>
    <w:basedOn w:val="6"/>
    <w:link w:val="2"/>
    <w:qFormat/>
    <w:uiPriority w:val="0"/>
    <w:rPr>
      <w:rFonts w:ascii="Times New Roman" w:hAnsi="Times New Roman" w:eastAsia="宋体" w:cs="Times New Roman"/>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1761</Words>
  <Characters>1897</Characters>
  <Lines>13</Lines>
  <Paragraphs>3</Paragraphs>
  <TotalTime>1</TotalTime>
  <ScaleCrop>false</ScaleCrop>
  <LinksUpToDate>false</LinksUpToDate>
  <CharactersWithSpaces>1917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2025-09-24T08:10:00Z</dcterms:created>
  <dc:creator>WPS_1599442975</dc:creator>
  <cp:lastModifiedBy>Zzzzzz...</cp:lastModifiedBy>
  <dcterms:modified xsi:type="dcterms:W3CDTF">2025-11-06T03:06:44Z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750A3E5CF4FF4C4E946AE6A4F6DBB7A0_13</vt:lpwstr>
  </property>
</Properties>
</file>